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analysis of a prospective cohort study</w:t>
      </w:r>
    </w:p>
    <w:p>
      <w:pPr>
        <w:pStyle w:val="Subtitle"/>
        <w:rPr/>
      </w:pPr>
      <w:r>
        <w:rPr/>
        <w:t>Supplementary Material</w:t>
      </w:r>
    </w:p>
    <w:p>
      <w:pPr>
        <w:pStyle w:val="Author"/>
        <w:rPr/>
      </w:pPr>
      <w:r>
        <w:rPr/>
        <w:t>CovILD study team</w:t>
      </w:r>
    </w:p>
    <w:p>
      <w:pPr>
        <w:pStyle w:val="Date"/>
        <w:rPr/>
      </w:pPr>
      <w:r>
        <w:rPr/>
        <w:t>2023-03-17</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or (4) any deficits in lung function testing or (5) any cardiological abnormality in trans-thoracic echocardiography at the one-year follow-up. The final analysis inclusion criterion was availability of complete Brief Illness Perception Questionnaire (BIPQ)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lung function testing, trans-thoracic echocardiography and chest computed tomography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Lung function testing abnormality was defined as forced vital capacity &lt; 80% or forced expiratory volume in 1 second &lt; 80% or total lung capacity &lt; 80% or diffusion lung capacity for carbon monoxide &lt; 80% of the predicted reference value or the ratio of forced expiratory volume in 1 second to forced vital capacity &lt; 70% of the predicted reference value [3]. Computed tomography images were screened for ground glass opacities, consolidations, bronchiectasis and reticulations according to the Fleischner Society glossary [5]. Chest computed tomography abnormalities were scored separately for each lobe with the computed tomography severity score [2–4]: 0 - no abnormality, 1 - minimal (subtle ground glass opacities), 2 - mild (several ground glass opacities, subtle reticulation), 3 - moderate (multiple ground glass opacities, reticulation, small consolidation), 4 - severe (extensive ground glass opacities, consolidation, reticulation with distortion), 5 - massive (multiple findings, parenchymal destruction). The sum computed tomography severity score for all five lobes was used in the analysis. Any chest computed tomography abnormality is defined as computed tomography severity score </w:t>
      </w:r>
      <w:r>
        <w:rPr/>
      </w:r>
      <m:oMath xmlns:m="http://schemas.openxmlformats.org/officeDocument/2006/math">
        <m:r>
          <w:rPr>
            <w:rFonts w:ascii="Cambria Math" w:hAnsi="Cambria Math"/>
          </w:rPr>
          <m:t xml:space="preserve">≥</m:t>
        </m:r>
      </m:oMath>
      <w:r>
        <w:rPr/>
        <w:t xml:space="preserve"> 1. The most frequent cardiological abnormality in echocardiography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defined as Eastern Cooperative Oncology Group (ECOG)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defined as Modified Medical British Research Council (mMRC)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defined as bimodal Chalder’s Fatigue Scale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Eastern Cooperative Oncology Group scale </w:t>
      </w:r>
      <w:r>
        <w:rPr/>
      </w:r>
      <m:oMath xmlns:m="http://schemas.openxmlformats.org/officeDocument/2006/math">
        <m:r>
          <w:rPr>
            <w:rFonts w:ascii="Cambria Math" w:hAnsi="Cambria Math"/>
          </w:rPr>
          <m:t xml:space="preserve">≥</m:t>
        </m:r>
      </m:oMath>
      <w:r>
        <w:rPr/>
        <w:t xml:space="preserve"> 2 or Modified Medical British Research Council scale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[6,7]. Exertional capacity was assessed by six-minute walking test performed according to the American Thoracic Society guidelines [8]. The reference six-minute walking distance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biomarkers of iron turnover (ferritin, transferrin saturation, hepcidin and soluble transferrin receptor), inflammation and coagulation (C-reactive protein and D-dimer) and cardiovascular pathology (N-terminal pro-brain natriuretic peptide) were determined routinely at the certified laboratory of the Central Institute for Medical and Chemical Diagnostic at the University Hospital in Innsbruck. Other markers of systemic inflammation, interleukin 6 and procalcitonin,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analyzed: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hyperlink r:id="rId2">
        <w:r>
          <w:rPr>
            <w:rStyle w:val="InternetLink"/>
            <w:i/>
            <w:iCs/>
          </w:rPr>
          <w:t>ExDA</w:t>
        </w:r>
      </w:hyperlink>
      <w:r>
        <w:rPr/>
        <w:t xml:space="preserve"> were employed. Factor analysis was accomplished with the </w:t>
      </w:r>
      <w:r>
        <w:rPr>
          <w:i/>
          <w:iCs/>
        </w:rPr>
        <w:t>stats</w:t>
      </w:r>
      <w:r>
        <w:rPr/>
        <w:t xml:space="preserve"> package of base R and the development package </w:t>
      </w:r>
      <w:hyperlink r:id="rId3">
        <w:r>
          <w:rPr>
            <w:rStyle w:val="InternetLink"/>
            <w:i/>
            <w:iCs/>
          </w:rPr>
          <w:t>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hyperlink r:id="rId4">
        <w:r>
          <w:rPr>
            <w:rStyle w:val="InternetLink"/>
            <w:i/>
            <w:iCs/>
          </w:rPr>
          <w:t>lmqc</w:t>
        </w:r>
      </w:hyperlink>
      <w:r>
        <w:rPr/>
        <w:t xml:space="preserve">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hyperlink r:id="rId5">
        <w:r>
          <w:rPr>
            <w:rStyle w:val="InternetLink"/>
            <w:i/>
            <w:iCs/>
          </w:rPr>
          <w:t>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hyperlink r:id="rId6">
        <w:r>
          <w:rPr>
            <w:rStyle w:val="InternetLink"/>
            <w:i/>
            <w:iCs/>
          </w:rPr>
          <w:t>clustTools</w:t>
        </w:r>
      </w:hyperlink>
      <w:r>
        <w:rPr/>
        <w:t>.</w:t>
      </w:r>
    </w:p>
    <w:p>
      <w:pPr>
        <w:pStyle w:val="TextBody"/>
        <w:rPr/>
      </w:pPr>
      <w:r>
        <w:rPr/>
        <w:t xml:space="preserve">The </w:t>
      </w:r>
      <w:r>
        <w:rPr>
          <w:i/>
          <w:iCs/>
        </w:rPr>
        <w:t>ggplot2</w:t>
      </w:r>
      <w:r>
        <w:rPr/>
        <w:t xml:space="preserve"> [22] package were used for data visualization. Bar and violin plots were generated with </w:t>
      </w:r>
      <w:hyperlink r:id="rId7">
        <w:r>
          <w:rPr>
            <w:rStyle w:val="InternetLink"/>
            <w:i/>
            <w:iCs/>
          </w:rPr>
          <w:t>ExDA</w:t>
        </w:r>
      </w:hyperlink>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hyperlink r:id="rId8">
        <w:r>
          <w:rPr>
            <w:rStyle w:val="InternetLink"/>
            <w:i/>
            <w:iCs/>
          </w:rPr>
          <w:t>Affiliations</w:t>
        </w:r>
      </w:hyperlink>
      <w:r>
        <w:rPr/>
        <w:t xml:space="preserve"> Pandoc filter set. For management of figures, tables and R code in the RMarkdown documents, the development package </w:t>
      </w:r>
      <w:hyperlink r:id="rId9">
        <w:r>
          <w:rPr>
            <w:rStyle w:val="InternetLink"/>
            <w:i/>
            <w:iCs/>
          </w:rPr>
          <w:t>figur</w:t>
        </w:r>
      </w:hyperlink>
      <w:r>
        <w:rPr/>
        <w:t xml:space="preserve">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hyperlink r:id="rId10">
        <w:r>
          <w:rPr>
            <w:rStyle w:val="InternetLink"/>
            <w:i/>
            <w:iCs/>
          </w:rPr>
          <w:t>ExDA</w:t>
        </w:r>
      </w:hyperlink>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hyperlink r:id="rId11">
        <w:r>
          <w:rPr>
            <w:rStyle w:val="InternetLink"/>
            <w:i/>
            <w:iCs/>
          </w:rPr>
          <w:t>ExDA</w:t>
        </w:r>
      </w:hyperlink>
      <w:r>
        <w:rPr/>
        <w:t xml:space="preserve"> package). Normality was tested with Shapiro-Wilk test and quantile-quantile plots (</w:t>
      </w:r>
      <w:r>
        <w:rPr>
          <w:rStyle w:val="VerbatimChar"/>
        </w:rPr>
        <w:t>explore()</w:t>
      </w:r>
      <w:r>
        <w:rPr/>
        <w:t xml:space="preserve">, </w:t>
      </w:r>
      <w:hyperlink r:id="rId12">
        <w:r>
          <w:rPr>
            <w:rStyle w:val="InternetLink"/>
            <w:i/>
            <w:iCs/>
          </w:rPr>
          <w:t>ExDA</w:t>
        </w:r>
      </w:hyperlink>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hyperlink r:id="rId13">
        <w:r>
          <w:rPr>
            <w:rStyle w:val="InternetLink"/>
            <w:i/>
            <w:iCs/>
          </w:rPr>
          <w:t>ExDA</w:t>
        </w:r>
      </w:hyperlink>
      <w:r>
        <w:rPr/>
        <w:t>). Correlations were analyzed with Spearman test (</w:t>
      </w:r>
      <w:r>
        <w:rPr>
          <w:rStyle w:val="VerbatimChar"/>
        </w:rPr>
        <w:t>correlate_variables()</w:t>
      </w:r>
      <w:r>
        <w:rPr/>
        <w:t xml:space="preserve"> package </w:t>
      </w:r>
      <w:hyperlink r:id="rId14">
        <w:r>
          <w:rPr>
            <w:rStyle w:val="InternetLink"/>
            <w:i/>
            <w:iCs/>
          </w:rPr>
          <w:t>ExDA</w:t>
        </w:r>
      </w:hyperlink>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hyperlink r:id="rId15">
        <w:r>
          <w:rPr>
            <w:rStyle w:val="InternetLink"/>
            <w:i/>
            <w:iCs/>
          </w:rPr>
          <w:t>clustTools</w:t>
        </w:r>
      </w:hyperlink>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w:t>
      </w:r>
      <w:r>
        <w:rPr>
          <w:rStyle w:val="VerbatimChar"/>
        </w:rPr>
        <w:t>correlate_variables()</w:t>
      </w:r>
      <w:r>
        <w:rPr/>
        <w:t xml:space="preserve">, package </w:t>
      </w:r>
      <w:hyperlink r:id="rId16">
        <w:r>
          <w:rPr>
            <w:rStyle w:val="InternetLink"/>
            <w:i/>
            <w:iCs/>
          </w:rPr>
          <w:t>ExDA</w:t>
        </w:r>
      </w:hyperlink>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ferritin and soluble transferrin receptor concentrations were transformed with the logarithm function, and transferrin saturation and hepcidin were transformed with square root. Strongly non-normally or bimodally distributed numeric explanatory variables: number of comorbidities (0, 1-3, 4+), number of symptoms (0, 1, 2-3, 4+), computed tomography severity score (‘none’: 0, ‘mild’: 1 - 5, ‘moderate’: 5 - 10, ‘severe’: 11+) [4], N-terminal pro-brain natriuretic peptide (normal, &gt;125 pg/mL), D-Dimer (normal, &gt;460 µg/L), C-reactive protein (normal, &gt;460 µg/L) and glycated hemoglobin (normal, &gt;460 µg/L) were stratified with clinically applicable cutoffs or cutoffs determined by visual analysis of scatter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cross-validation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the cross-validation data sets. In turn, poorly performing, estimate-only models could be obtained for the lacking control/coherence IP component. Estimates of non-zero coefficients were extracted from the final models with the </w:t>
      </w:r>
      <w:r>
        <w:rPr>
          <w:rStyle w:val="VerbatimChar"/>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cross-validation with the root mean squared error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xml:space="preserve">). The model coefficient matrix X was extracted from the </w:t>
      </w:r>
      <w:r>
        <w:rPr>
          <w:rStyle w:val="VerbatimChar"/>
        </w:rPr>
        <w:t>finalModel</w:t>
      </w:r>
      <w:r>
        <w:rPr/>
        <w:t xml:space="preserve">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root mean squared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q</m:t>
        </m:r>
        <m:r>
          <w:rPr>
            <w:rFonts w:ascii="Cambria Math" w:hAnsi="Cambria Math"/>
          </w:rPr>
          <m:t xml:space="preserve">u</m:t>
        </m:r>
        <m:r>
          <w:rPr>
            <w:rFonts w:ascii="Cambria Math" w:hAnsi="Cambria Math"/>
          </w:rPr>
          <m:t xml:space="preserve">a</m:t>
        </m:r>
        <m:r>
          <w:rPr>
            <w:rFonts w:ascii="Cambria Math" w:hAnsi="Cambria Math"/>
          </w:rPr>
          <m:t xml:space="preserve">r</m:t>
        </m:r>
        <m:r>
          <w:rPr>
            <w:rFonts w:ascii="Cambria Math" w:hAnsi="Cambria Math"/>
          </w:rPr>
          <m:t xml:space="preserve">e</m:t>
        </m:r>
        <m:r>
          <w:rPr>
            <w:rFonts w:ascii="Cambria Math" w:hAnsi="Cambria Math"/>
          </w:rPr>
          <m:t xml:space="preserve">d</m:t>
        </m:r>
        <m:r>
          <w:rPr>
            <w:rFonts w:ascii="Cambria Math" w:hAnsi="Cambria Math"/>
          </w:rPr>
          <m:t xml:space="preserve">e</m:t>
        </m:r>
        <m:r>
          <w:rPr>
            <w:rFonts w:ascii="Cambria Math" w:hAnsi="Cambria Math"/>
          </w:rPr>
          <m:t xml:space="preserve">r</m:t>
        </m:r>
        <m:r>
          <w:rPr>
            <w:rFonts w:ascii="Cambria Math" w:hAnsi="Cambria Math"/>
          </w:rPr>
          <m:t xml:space="preserve">r</m:t>
        </m:r>
        <m:r>
          <w:rPr>
            <w:rFonts w:ascii="Cambria Math" w:hAnsi="Cambria Math"/>
          </w:rPr>
          <m:t xml:space="preserve">o</m:t>
        </m:r>
        <m:f>
          <m:fPr>
            <m:type m:val="lin"/>
          </m:fPr>
          <m:num>
            <m:r>
              <w:rPr>
                <w:rFonts w:ascii="Cambria Math" w:hAnsi="Cambria Math"/>
              </w:rPr>
              <m:t xml:space="preserve">r</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r>
          <w:rPr>
            <w:rFonts w:ascii="Cambria Math" w:hAnsi="Cambria Math"/>
          </w:rPr>
          <m:t xml:space="preserve">i</m:t>
        </m:r>
        <m:r>
          <w:rPr>
            <w:rFonts w:ascii="Cambria Math" w:hAnsi="Cambria Math"/>
          </w:rPr>
          <m:t xml:space="preserve">a</m:t>
        </m:r>
        <m:r>
          <w:rPr>
            <w:rFonts w:ascii="Cambria Math" w:hAnsi="Cambria Math"/>
          </w:rPr>
          <m:t xml:space="preserve">n</m:t>
        </m:r>
        <m:r>
          <w:rPr>
            <w:rFonts w:ascii="Cambria Math" w:hAnsi="Cambria Math"/>
          </w:rPr>
          <m:t xml:space="preserve">c</m:t>
        </m:r>
        <m:r>
          <w:rPr>
            <w:rFonts w:ascii="Cambria Math" w:hAnsi="Cambria Math"/>
          </w:rPr>
          <m:t xml:space="preserve">e</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hyperlink r:id="rId17">
        <w:r>
          <w:rPr>
            <w:rStyle w:val="InternetLink"/>
            <w:i/>
            <w:iCs/>
          </w:rPr>
          <w:t>caretExtra</w:t>
        </w:r>
      </w:hyperlink>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hyperlink r:id="rId18">
        <w:r>
          <w:rPr>
            <w:rStyle w:val="InternetLink"/>
            <w:i/>
            <w:iCs/>
          </w:rPr>
          <w:t>caretExtra</w:t>
        </w:r>
      </w:hyperlink>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(computed tomography, lung function findings or diastolic dysfunction in echocardiography)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hyperlink r:id="rId19">
        <w:r>
          <w:rPr>
            <w:rStyle w:val="InternetLink"/>
            <w:i/>
            <w:iCs/>
          </w:rPr>
          <w:t>lmqc</w:t>
        </w:r>
      </w:hyperlink>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hyperlink r:id="rId20">
        <w:r>
          <w:rPr>
            <w:rStyle w:val="InternetLink"/>
            <w:i/>
            <w:iCs/>
          </w:rPr>
          <w:t>lmqc</w:t>
        </w:r>
      </w:hyperlink>
      <w:r>
        <w:rPr/>
        <w:t xml:space="preserve">). The significant and near significant (p &lt; .1)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the partition around medoids algorithm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clustering object was constructed with the </w:t>
      </w:r>
      <w:r>
        <w:rPr>
          <w:rStyle w:val="VerbatimChar"/>
        </w:rPr>
        <w:t>kcluster(distance_method = 'euclidean', clust_fun = 'pam')</w:t>
      </w:r>
      <w:r>
        <w:rPr/>
        <w:t xml:space="preserve"> function from the development package </w:t>
      </w:r>
      <w:hyperlink r:id="rId21">
        <w:r>
          <w:rPr>
            <w:rStyle w:val="InternetLink"/>
            <w:i/>
            <w:iCs/>
          </w:rPr>
          <w:t>clustTools</w:t>
        </w:r>
      </w:hyperlink>
      <w:r>
        <w:rPr/>
        <w:t>.</w:t>
      </w:r>
    </w:p>
    <w:p>
      <w:pPr>
        <w:pStyle w:val="TextBody"/>
        <w:rPr/>
      </w:pPr>
      <w:r>
        <w:rPr/>
        <w:t xml:space="preserve">The partition around medoids/Euclidean distance procedure was chosen based on the high explained clustering variance (ratio of the between-cluster sum of squares to the total sum of squares, method </w:t>
      </w:r>
      <w:r>
        <w:rPr>
          <w:rStyle w:val="VerbatimChar"/>
        </w:rPr>
        <w:t>var()</w:t>
      </w:r>
      <w:r>
        <w:rPr/>
        <w:t xml:space="preserve">, package </w:t>
      </w:r>
      <w:hyperlink r:id="rId22">
        <w:r>
          <w:rPr>
            <w:rStyle w:val="InternetLink"/>
            <w:i/>
            <w:iCs/>
          </w:rPr>
          <w:t>clustTools</w:t>
        </w:r>
      </w:hyperlink>
      <w:r>
        <w:rPr/>
        <w:t xml:space="preserve">) and stability (cluster assignment accuracy in 10-fold cross-validation, cluster assignment by 7-nearest neighbors classifier, method </w:t>
      </w:r>
      <w:r>
        <w:rPr>
          <w:rStyle w:val="VerbatimChar"/>
        </w:rPr>
        <w:t>cv()</w:t>
      </w:r>
      <w:r>
        <w:rPr/>
        <w:t xml:space="preserve">, package </w:t>
      </w:r>
      <w:hyperlink r:id="rId23">
        <w:r>
          <w:rPr>
            <w:rStyle w:val="InternetLink"/>
            <w:i/>
            <w:iCs/>
          </w:rPr>
          <w:t>clustTools</w:t>
        </w:r>
      </w:hyperlink>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hyperlink r:id="rId24">
        <w:r>
          <w:rPr>
            <w:rStyle w:val="InternetLink"/>
            <w:i/>
            <w:iCs/>
          </w:rPr>
          <w:t>clustTools</w:t>
        </w:r>
      </w:hyperlink>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25">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Study variables. The table is available as a supplementary Excel file.</w:t>
      </w:r>
    </w:p>
    <w:p>
      <w:pPr>
        <w:pStyle w:val="TableCaption"/>
        <w:rPr/>
      </w:pPr>
      <w:r>
        <w:rPr/>
      </w:r>
    </w:p>
    <w:p>
      <w:pPr>
        <w:pStyle w:val="TableCaption"/>
        <w:rPr/>
      </w:pPr>
      <w:r>
        <w:rPr/>
        <w:t xml:space="preserve">Supplementary </w:t>
      </w:r>
      <w:r>
        <w:rPr/>
        <w:t xml:space="preserve">Table </w:t>
      </w:r>
      <w:r>
        <w:rPr/>
        <w:t>S</w:t>
      </w:r>
      <w:r>
        <w:rPr/>
        <w:t>2: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trPr>
        <w:tc>
          <w:tcPr>
            <w:tcW w:w="79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Explanatory variable</w:t>
            </w:r>
          </w:p>
        </w:tc>
      </w:tr>
      <w:tr>
        <w:trPr>
          <w:trHeight w:val="360" w:hRule="atLeast"/>
        </w:trPr>
        <w:tc>
          <w:tcPr>
            <w:tcW w:w="79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bl>
    <w:p>
      <w:pPr>
        <w:pStyle w:val="Normal"/>
        <w:rPr/>
      </w:pPr>
      <w:r>
        <w:rPr/>
      </w:r>
      <w:r>
        <w:br w:type="page"/>
      </w:r>
    </w:p>
    <w:p>
      <w:pPr>
        <w:pStyle w:val="TableCaption"/>
        <w:rPr/>
      </w:pPr>
      <w:r>
        <w:rPr/>
        <w:t xml:space="preserve">Supplementary </w:t>
      </w:r>
      <w:r>
        <w:rPr/>
        <w:t xml:space="preserve">Table </w:t>
      </w:r>
      <w:r>
        <w:rPr/>
        <w:t>S</w:t>
      </w:r>
      <w:r>
        <w:rPr/>
        <w:t>3: Significant and near-significant (p &lt; .1)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trPr>
        <w:tc>
          <w:tcPr>
            <w:tcW w:w="272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 in the analysis</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Excluded from the analysis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272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r>
              <w:rPr>
                <w:rFonts w:eastAsia="Arial" w:cs="Arial"/>
                <w:b w:val="false"/>
                <w:i w:val="false"/>
                <w:color w:val="000000"/>
                <w:sz w:val="18"/>
                <w:szCs w:val="18"/>
                <w:u w:val="none"/>
                <w:vertAlign w:val="superscript"/>
              </w:rPr>
              <w:t>b</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3 - 4.8]</w:t>
              <w:br/>
              <w:t>range: 2 - 7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2 - 4]</w:t>
              <w:br/>
              <w:t>range: 2 - 7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.19</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Dermatological symptoms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m</w:t>
            </w:r>
            <w:r>
              <w:rPr>
                <w:rFonts w:eastAsia="Arial" w:cs="Arial"/>
                <w:b w:val="false"/>
                <w:i w:val="false"/>
                <w:color w:val="000000"/>
                <w:sz w:val="18"/>
                <w:szCs w:val="18"/>
                <w:u w:val="none"/>
                <w:vertAlign w:val="superscript"/>
              </w:rPr>
              <w:t>b</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500 - 630]</w:t>
              <w:br/>
              <w:t>range: 270 - 760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520 [IQR: 450 - 580]</w:t>
              <w:br/>
              <w:t>range: 310 - 680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r>
              <w:rPr>
                <w:rFonts w:eastAsia="Arial" w:cs="Arial"/>
                <w:b w:val="false"/>
                <w:i w:val="false"/>
                <w:color w:val="000000"/>
                <w:sz w:val="18"/>
                <w:szCs w:val="18"/>
                <w:u w:val="none"/>
                <w:vertAlign w:val="superscript"/>
              </w:rPr>
              <w:t>b</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110 - 180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130 - 150]</w:t>
              <w:br/>
              <w:t>range: 110 - 170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.16</w:t>
            </w:r>
          </w:p>
        </w:tc>
      </w:tr>
      <w:tr>
        <w:trPr>
          <w:trHeight w:val="360" w:hRule="atLeast"/>
        </w:trPr>
        <w:tc>
          <w:tcPr>
            <w:tcW w:w="272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r>
              <w:rPr>
                <w:rFonts w:eastAsia="Arial" w:cs="Arial"/>
                <w:b w:val="false"/>
                <w:i w:val="false"/>
                <w:color w:val="000000"/>
                <w:sz w:val="18"/>
                <w:szCs w:val="18"/>
                <w:u w:val="none"/>
                <w:vertAlign w:val="superscript"/>
              </w:rPr>
              <w:t>b</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110 - 260]</w:t>
              <w:br/>
              <w:t>range: 13 - 1300</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 [IQR: 60 - 180]</w:t>
              <w:br/>
              <w:t>range: 22 - 800</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.19</w:t>
            </w:r>
          </w:p>
        </w:tc>
      </w:tr>
      <w:tr>
        <w:trPr>
          <w:trHeight w:val="360" w:hRule="atLeast"/>
        </w:trPr>
        <w:tc>
          <w:tcPr>
            <w:tcW w:w="929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r>
        <w:trPr>
          <w:trHeight w:val="360" w:hRule="atLeast"/>
        </w:trPr>
        <w:tc>
          <w:tcPr>
            <w:tcW w:w="929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WHO ordinal scale for clinical improvement</w:t>
            </w:r>
          </w:p>
        </w:tc>
      </w:tr>
      <w:tr>
        <w:trPr>
          <w:trHeight w:val="360" w:hRule="atLeast"/>
        </w:trPr>
        <w:tc>
          <w:tcPr>
            <w:tcW w:w="929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Six minute walking distance</w:t>
            </w:r>
          </w:p>
        </w:tc>
      </w:tr>
      <w:tr>
        <w:trPr>
          <w:trHeight w:val="360" w:hRule="atLeast"/>
        </w:trPr>
        <w:tc>
          <w:tcPr>
            <w:tcW w:w="929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Blood hemoglobin</w:t>
            </w:r>
          </w:p>
        </w:tc>
      </w:tr>
      <w:tr>
        <w:trPr>
          <w:trHeight w:val="360" w:hRule="atLeast"/>
        </w:trPr>
        <w:tc>
          <w:tcPr>
            <w:tcW w:w="929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Serum ferritin</w:t>
            </w:r>
          </w:p>
        </w:tc>
      </w:tr>
    </w:tbl>
    <w:p>
      <w:pPr>
        <w:pStyle w:val="Normal"/>
        <w:rPr/>
      </w:pPr>
      <w:r>
        <w:rPr/>
      </w:r>
      <w:r>
        <w:br w:type="page"/>
      </w:r>
    </w:p>
    <w:p>
      <w:pPr>
        <w:pStyle w:val="TableCaption"/>
        <w:rPr/>
      </w:pPr>
      <w:r>
        <w:rPr/>
        <w:t xml:space="preserve">Supplementary </w:t>
      </w:r>
      <w:r>
        <w:rPr/>
        <w:t xml:space="preserve">Table </w:t>
      </w:r>
      <w:r>
        <w:rPr/>
        <w:t>S</w:t>
      </w:r>
      <w:r>
        <w:rPr/>
        <w:t>4: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trPr>
        <w:tc>
          <w:tcPr>
            <w:tcW w:w="204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Ambulatory COVID-19</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Moderate COVID-19</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Severe COVID-19</w:t>
            </w:r>
          </w:p>
        </w:tc>
        <w:tc>
          <w:tcPr>
            <w:tcW w:w="136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204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w:t>
            </w:r>
          </w:p>
        </w:tc>
        <w:tc>
          <w:tcPr>
            <w:tcW w:w="136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r>
              <w:rPr>
                <w:rFonts w:eastAsia="Arial" w:cs="Arial"/>
                <w:b w:val="false"/>
                <w:i w:val="false"/>
                <w:color w:val="000000"/>
                <w:sz w:val="18"/>
                <w:szCs w:val="18"/>
                <w:u w:val="none"/>
                <w:vertAlign w:val="superscript"/>
              </w:rPr>
              <w:t>c</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72% (n = 53)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12)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72% (n = 29)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63% (n = 12)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r>
              <w:rPr>
                <w:rFonts w:eastAsia="Arial" w:cs="Arial"/>
                <w:b w:val="false"/>
                <w:i w:val="false"/>
                <w:color w:val="000000"/>
                <w:sz w:val="18"/>
                <w:szCs w:val="18"/>
                <w:u w:val="none"/>
                <w:vertAlign w:val="superscript"/>
              </w:rPr>
              <w:t>c</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1 - 4]</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0 - 3]</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0 - 6</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.70)</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.018</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Reduced performance (ECOG ≥ 1)</w:t>
            </w:r>
            <w:r>
              <w:rPr>
                <w:rFonts w:eastAsia="Arial" w:cs="Arial"/>
                <w:b w:val="false"/>
                <w:i w:val="false"/>
                <w:color w:val="000000"/>
                <w:sz w:val="18"/>
                <w:szCs w:val="18"/>
                <w:u w:val="none"/>
                <w:vertAlign w:val="superscript"/>
              </w:rPr>
              <w:t>c</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26)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14)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.98)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.025</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r>
              <w:rPr>
                <w:rFonts w:eastAsia="Arial" w:cs="Arial"/>
                <w:b w:val="false"/>
                <w:i w:val="false"/>
                <w:color w:val="000000"/>
                <w:sz w:val="18"/>
                <w:szCs w:val="18"/>
                <w:u w:val="none"/>
                <w:vertAlign w:val="superscript"/>
              </w:rPr>
              <w:t>d</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5)</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Sleep problems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Night sweat</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13)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Hypo/anosmia</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Dermatological symptoms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3)</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.14</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Hair loss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r>
              <w:rPr>
                <w:rFonts w:eastAsia="Arial" w:cs="Arial"/>
                <w:b w:val="false"/>
                <w:i w:val="false"/>
                <w:color w:val="000000"/>
                <w:sz w:val="18"/>
                <w:szCs w:val="18"/>
                <w:u w:val="none"/>
                <w:vertAlign w:val="superscript"/>
              </w:rPr>
              <w:t>e</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11 - 16]</w:t>
              <w:br/>
              <w:t>range: 1 - 32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11 - 19]</w:t>
              <w:br/>
              <w:t>range: 2 - 26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1 - 24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[IQR: 11 - 19]</w:t>
              <w:br/>
              <w:t>range: 1 - 32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.54)</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r>
              <w:rPr>
                <w:rFonts w:eastAsia="Arial" w:cs="Arial"/>
                <w:b w:val="false"/>
                <w:i w:val="false"/>
                <w:color w:val="000000"/>
                <w:sz w:val="18"/>
                <w:szCs w:val="18"/>
                <w:u w:val="none"/>
                <w:vertAlign w:val="superscript"/>
              </w:rPr>
              <w:t>e</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30)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13)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9)</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.18</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f</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12)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9)</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abnormality (CT score ≥ 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21)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89% (n = 17)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.52</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r>
              <w:rPr>
                <w:rFonts w:eastAsia="Arial" w:cs="Arial"/>
                <w:b w:val="false"/>
                <w:i w:val="false"/>
                <w:color w:val="000000"/>
                <w:sz w:val="18"/>
                <w:szCs w:val="18"/>
                <w:u w:val="none"/>
                <w:vertAlign w:val="superscript"/>
              </w:rPr>
              <w:t>g</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0 - 2.2]</w:t>
              <w:br/>
              <w:t>range: 0 - 8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2.5 - 10]</w:t>
              <w:br/>
              <w:t>range: 0 - 14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.35</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Diastolic dysfunction</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47)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(n = 27)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84% (n = 16)</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.41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m</w:t>
            </w:r>
            <w:r>
              <w:rPr>
                <w:rFonts w:eastAsia="Arial" w:cs="Arial"/>
                <w:b w:val="false"/>
                <w:i w:val="false"/>
                <w:color w:val="000000"/>
                <w:sz w:val="18"/>
                <w:szCs w:val="18"/>
                <w:u w:val="none"/>
                <w:vertAlign w:val="superscript"/>
              </w:rPr>
              <w:t>h</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500 - 630]</w:t>
              <w:br/>
              <w:t>range: 270 - 760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620 [IQR: 560 - 650]</w:t>
              <w:br/>
              <w:t>range: 400 - 740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550 [IQR: 480 - 630]</w:t>
              <w:br/>
              <w:t>range: 270 - 760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500 - 640]</w:t>
              <w:br/>
              <w:t>range: 410 - 700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.034</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vs reference, m</w:t>
            </w:r>
            <w:r>
              <w:rPr>
                <w:rFonts w:eastAsia="Arial" w:cs="Arial"/>
                <w:b w:val="false"/>
                <w:i w:val="false"/>
                <w:color w:val="000000"/>
                <w:sz w:val="18"/>
                <w:szCs w:val="18"/>
                <w:u w:val="none"/>
                <w:vertAlign w:val="superscript"/>
              </w:rPr>
              <w:t>i</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-61 - 46]</w:t>
              <w:br/>
              <w:t>range: -230 - 140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-55 - 31]</w:t>
              <w:br/>
              <w:t>range: -230 - 120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-56 - 46]</w:t>
              <w:br/>
              <w:t>range: -220 - 130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-71 - 42]</w:t>
              <w:br/>
              <w:t>range: -210 - 140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.024</w:t>
            </w:r>
          </w:p>
        </w:tc>
      </w:tr>
      <w:tr>
        <w:trPr>
          <w:trHeight w:val="360" w:hRule="atLeast"/>
        </w:trPr>
        <w:tc>
          <w:tcPr>
            <w:tcW w:w="204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Rehabilitation</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31% (n = 23)</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15)</w:t>
            </w:r>
          </w:p>
        </w:tc>
        <w:tc>
          <w:tcPr>
            <w:tcW w:w="136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.61</w:t>
            </w:r>
          </w:p>
        </w:tc>
      </w:tr>
      <w:tr>
        <w:trPr>
          <w:trHeight w:val="360" w:hRule="atLeast"/>
        </w:trPr>
        <w:tc>
          <w:tcPr>
            <w:tcW w:w="11848"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PSS: persistent somatic symptoms</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ECOG: Eastern Cooperative Oncology Group performance score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mMRC: Modified Medical Research Council dyspnea score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CFS: Chalder's Fatigure Score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f</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g</w:t>
            </w:r>
            <w:r>
              <w:rPr>
                <w:rFonts w:eastAsia="Arial" w:cs="Arial"/>
                <w:b w:val="false"/>
                <w:i w:val="false"/>
                <w:color w:val="000000"/>
                <w:sz w:val="18"/>
                <w:szCs w:val="18"/>
                <w:u w:val="none"/>
              </w:rPr>
              <w:t>Chest computer tomography severity score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h</w:t>
            </w:r>
            <w:r>
              <w:rPr>
                <w:rFonts w:eastAsia="Arial" w:cs="Arial"/>
                <w:b w:val="false"/>
                <w:i w:val="false"/>
                <w:color w:val="000000"/>
                <w:sz w:val="18"/>
                <w:szCs w:val="18"/>
                <w:u w:val="none"/>
              </w:rPr>
              <w:t>SMWD: Six minute walking distance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i</w:t>
            </w:r>
            <w:r>
              <w:rPr>
                <w:rFonts w:eastAsia="Arial" w:cs="Arial"/>
                <w:b w:val="false"/>
                <w:i w:val="false"/>
                <w:color w:val="000000"/>
                <w:sz w:val="18"/>
                <w:szCs w:val="18"/>
                <w:u w:val="none"/>
              </w:rPr>
              <w:t>SMWD, difference between the actual and reference value</w:t>
            </w:r>
          </w:p>
        </w:tc>
      </w:tr>
    </w:tbl>
    <w:p>
      <w:pPr>
        <w:pStyle w:val="Normal"/>
        <w:rPr/>
      </w:pPr>
      <w:r>
        <w:rPr/>
      </w:r>
      <w:r>
        <w:br w:type="page"/>
      </w:r>
    </w:p>
    <w:p>
      <w:pPr>
        <w:pStyle w:val="TableCaption"/>
        <w:rPr/>
      </w:pPr>
      <w:r>
        <w:rPr/>
        <w:t xml:space="preserve">Supplementary </w:t>
      </w:r>
      <w:r>
        <w:rPr/>
        <w:t xml:space="preserve">Table </w:t>
      </w:r>
      <w:r>
        <w:rPr/>
        <w:t>S</w:t>
      </w:r>
      <w:r>
        <w:rPr/>
        <w:t>5: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Ambulatory COVID-19</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Moderate COVID-19</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Severe COVID-19</w:t>
            </w:r>
          </w:p>
        </w:tc>
        <w:tc>
          <w:tcPr>
            <w:tcW w:w="136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w:t>
            </w:r>
          </w:p>
        </w:tc>
        <w:tc>
          <w:tcPr>
            <w:tcW w:w="136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Anemia</w:t>
            </w:r>
            <w:r>
              <w:rPr>
                <w:rFonts w:eastAsia="Arial" w:cs="Arial"/>
                <w:b w:val="false"/>
                <w:i w:val="false"/>
                <w:color w:val="000000"/>
                <w:sz w:val="18"/>
                <w:szCs w:val="18"/>
                <w:u w:val="none"/>
                <w:vertAlign w:val="superscript"/>
              </w:rPr>
              <w:t>b</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r>
              <w:rPr>
                <w:rFonts w:eastAsia="Arial" w:cs="Arial"/>
                <w:b w:val="false"/>
                <w:i w:val="false"/>
                <w:color w:val="000000"/>
                <w:sz w:val="18"/>
                <w:szCs w:val="18"/>
                <w:u w:val="none"/>
                <w:vertAlign w:val="superscript"/>
              </w:rPr>
              <w:t>c</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110 - 180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140 - 150]</w:t>
              <w:br/>
              <w:t>range: 130 - 160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110 - 170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150 - 160]</w:t>
              <w:br/>
              <w:t>range: 140 - 180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.14</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r>
              <w:rPr>
                <w:rFonts w:eastAsia="Arial" w:cs="Arial"/>
                <w:b w:val="false"/>
                <w:i w:val="false"/>
                <w:color w:val="000000"/>
                <w:sz w:val="18"/>
                <w:szCs w:val="18"/>
                <w:u w:val="none"/>
                <w:vertAlign w:val="superscript"/>
              </w:rPr>
              <w:t>d</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110 - 260]</w:t>
              <w:br/>
              <w:t>range: 13 - 1300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48 - 170]</w:t>
              <w:br/>
              <w:t>range: 13 - 450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170 [IQR: 130 - 270]</w:t>
              <w:br/>
              <w:t>range: 13 - 1300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180 [IQR: 110 - 250]</w:t>
              <w:br/>
              <w:t>range: 25 - 870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TF-Sat, %</w:t>
            </w:r>
            <w:r>
              <w:rPr>
                <w:rFonts w:eastAsia="Arial" w:cs="Arial"/>
                <w:b w:val="false"/>
                <w:i w:val="false"/>
                <w:color w:val="000000"/>
                <w:sz w:val="18"/>
                <w:szCs w:val="18"/>
                <w:u w:val="none"/>
                <w:vertAlign w:val="superscript"/>
              </w:rPr>
              <w:t>e</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[IQR: 20 - 33]</w:t>
              <w:br/>
              <w:t>range: 6 - 61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[IQR: 18 - 32]</w:t>
              <w:br/>
              <w:t>range: 14 - 49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[IQR: 21 - 33]</w:t>
              <w:br/>
              <w:t>range: 6 - 61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[IQR: 20 - 32]</w:t>
              <w:br/>
              <w:t>range: 10 - 44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sTFR, mg/L</w:t>
            </w:r>
            <w:r>
              <w:rPr>
                <w:rFonts w:eastAsia="Arial" w:cs="Arial"/>
                <w:b w:val="false"/>
                <w:i w:val="false"/>
                <w:color w:val="000000"/>
                <w:sz w:val="18"/>
                <w:szCs w:val="18"/>
                <w:u w:val="none"/>
                <w:vertAlign w:val="superscript"/>
              </w:rPr>
              <w:t>f</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2.4 - 3.4]</w:t>
              <w:br/>
              <w:t>range: 1.6 - 6.2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[IQR: 2.3 - 3.2]</w:t>
              <w:br/>
              <w:t>range: 2 - 4.1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2.4 - 3.3]</w:t>
              <w:br/>
              <w:t>range: 1.6 - 6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2.5 - 3.4]</w:t>
              <w:br/>
              <w:t>range: 1.9 - 6.2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Hepcidin, ng/mL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6.5 - 17]</w:t>
              <w:br/>
              <w:t>range: 0 - 51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3 - 12]</w:t>
              <w:br/>
              <w:t>range: 0 - 18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7 - 21]</w:t>
              <w:br/>
              <w:t>range: 0 - 38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4.5 - 18]</w:t>
              <w:br/>
              <w:t>range: 0 - 51</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.0078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NT-proBNP, pg/mL</w:t>
            </w:r>
            <w:r>
              <w:rPr>
                <w:rFonts w:eastAsia="Arial" w:cs="Arial"/>
                <w:b w:val="false"/>
                <w:i w:val="false"/>
                <w:color w:val="000000"/>
                <w:sz w:val="18"/>
                <w:szCs w:val="18"/>
                <w:u w:val="none"/>
                <w:vertAlign w:val="superscript"/>
              </w:rPr>
              <w:t>g</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0 - 110]</w:t>
              <w:br/>
              <w:t>range: 0 - 1600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0 - 73]</w:t>
              <w:br/>
              <w:t>range: 0 - 140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[IQR: 0 - 150]</w:t>
              <w:br/>
              <w:t>range: 0 - 1600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0 - 90]</w:t>
              <w:br/>
              <w:t>range: 0 - 850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D-dimer, µg/L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320 [IQR: 210 - 530]</w:t>
              <w:br/>
              <w:t>range: 0 - 4000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520 [IQR: 250 - 970]</w:t>
              <w:br/>
              <w:t>range: 0 - 4000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320 [IQR: 210 - 590]</w:t>
              <w:br/>
              <w:t>range: 170 - 1800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290 [IQR: 210 - 350]</w:t>
              <w:br/>
              <w:t>range: 0 - 1100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CRP, mg/L</w:t>
            </w:r>
            <w:r>
              <w:rPr>
                <w:rFonts w:eastAsia="Arial" w:cs="Arial"/>
                <w:b w:val="false"/>
                <w:i w:val="false"/>
                <w:color w:val="000000"/>
                <w:sz w:val="18"/>
                <w:szCs w:val="18"/>
                <w:u w:val="none"/>
                <w:vertAlign w:val="superscript"/>
              </w:rPr>
              <w: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0.14 [IQR: 0.07 - 0.3]</w:t>
              <w:br/>
              <w:t>range: 0 - 7.4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0.11 [IQR: 0.06 - 0.28]</w:t>
              <w:br/>
              <w:t>range: 0 - 0.53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0.14 [IQR: 0.07 - 0.3]</w:t>
              <w:br/>
              <w:t>range: 0 - 2.4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0.16 [IQR: 0.035 - 0.31]</w:t>
              <w:br/>
              <w:t>range: 0 - 7.4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.80)</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.022</w:t>
            </w:r>
          </w:p>
        </w:tc>
      </w:tr>
      <w:tr>
        <w:trPr>
          <w:trHeight w:val="360" w:hRule="atLeast"/>
        </w:trPr>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HbA1c, %</w:t>
            </w:r>
            <w:r>
              <w:rPr>
                <w:rFonts w:eastAsia="Arial" w:cs="Arial"/>
                <w:b w:val="false"/>
                <w:i w:val="false"/>
                <w:color w:val="000000"/>
                <w:sz w:val="18"/>
                <w:szCs w:val="18"/>
                <w:u w:val="none"/>
                <w:vertAlign w:val="superscript"/>
              </w:rPr>
              <w:t>i</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[IQR: 5.5 - 6]</w:t>
              <w:br/>
              <w:t>range: 4.9 - 8.8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[IQR: 5.4 - 5.8]</w:t>
              <w:br/>
              <w:t>range: 4.9 - 7.5</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5.6 - 6.1]</w:t>
              <w:br/>
              <w:t>range: 4.9 - 7.8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[IQR: 5.3 - 5.9]</w:t>
              <w:br/>
              <w:t>range: 5 - 8.8</w:t>
            </w:r>
          </w:p>
        </w:tc>
        <w:tc>
          <w:tcPr>
            <w:tcW w:w="136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.11)</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.035</w:t>
            </w:r>
          </w:p>
        </w:tc>
      </w:tr>
      <w:tr>
        <w:trPr>
          <w:trHeight w:val="360" w:hRule="atLeast"/>
        </w:trPr>
        <w:tc>
          <w:tcPr>
            <w:tcW w:w="11905"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Females: hemoglobin (Hb) &lt; 120 g/dL, males: Hb &lt; 140 g/dL</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Blood hemoglobin</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Serum ferritin</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Serum transferrin saturation</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f</w:t>
            </w:r>
            <w:r>
              <w:rPr>
                <w:rFonts w:eastAsia="Arial" w:cs="Arial"/>
                <w:b w:val="false"/>
                <w:i w:val="false"/>
                <w:color w:val="000000"/>
                <w:sz w:val="18"/>
                <w:szCs w:val="18"/>
                <w:u w:val="none"/>
              </w:rPr>
              <w:t>Serum soluble transferrin receptor</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g</w:t>
            </w:r>
            <w:r>
              <w:rPr>
                <w:rFonts w:eastAsia="Arial" w:cs="Arial"/>
                <w:b w:val="false"/>
                <w:i w:val="false"/>
                <w:color w:val="000000"/>
                <w:sz w:val="18"/>
                <w:szCs w:val="18"/>
                <w:u w:val="none"/>
              </w:rPr>
              <w:t>Serum N-terminal pro-brain natriuretic peptide</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h</w:t>
            </w:r>
            <w:r>
              <w:rPr>
                <w:rFonts w:eastAsia="Arial" w:cs="Arial"/>
                <w:b w:val="false"/>
                <w:i w:val="false"/>
                <w:color w:val="000000"/>
                <w:sz w:val="18"/>
                <w:szCs w:val="18"/>
                <w:u w:val="none"/>
              </w:rPr>
              <w:t>Serum C-reactive protein</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i</w:t>
            </w:r>
            <w:r>
              <w:rPr>
                <w:rFonts w:eastAsia="Arial" w:cs="Arial"/>
                <w:b w:val="false"/>
                <w:i w:val="false"/>
                <w:color w:val="000000"/>
                <w:sz w:val="18"/>
                <w:szCs w:val="18"/>
                <w:u w:val="none"/>
              </w:rPr>
              <w:t>Blood glycated hamoglobin</w:t>
            </w:r>
          </w:p>
        </w:tc>
      </w:tr>
    </w:tbl>
    <w:p>
      <w:pPr>
        <w:pStyle w:val="Normal"/>
        <w:rPr/>
      </w:pPr>
      <w:r>
        <w:rPr/>
      </w:r>
      <w:r>
        <w:br w:type="page"/>
      </w:r>
    </w:p>
    <w:p>
      <w:pPr>
        <w:pStyle w:val="TableCaption"/>
        <w:rPr/>
      </w:pPr>
      <w:r>
        <w:rPr/>
        <w:t xml:space="preserve">Supplementary </w:t>
      </w:r>
      <w:r>
        <w:rPr/>
        <w:t xml:space="preserve">Table </w:t>
      </w:r>
      <w:r>
        <w:rPr/>
        <w:t>S</w:t>
      </w:r>
      <w:r>
        <w:rPr/>
        <w:t>6: Significant and near-significant (p &lt; .1)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524" w:type="dxa"/>
        <w:jc w:val="center"/>
        <w:tblInd w:w="0" w:type="dxa"/>
        <w:tblLayout w:type="fixed"/>
        <w:tblCellMar>
          <w:top w:w="0" w:type="dxa"/>
          <w:left w:w="0" w:type="dxa"/>
          <w:bottom w:w="0" w:type="dxa"/>
          <w:right w:w="0" w:type="dxa"/>
        </w:tblCellMar>
        <w:tblLook w:firstRow="1" w:noVBand="1" w:lastRow="0" w:firstColumn="0" w:lastColumn="0" w:noHBand="0"/>
      </w:tblPr>
      <w:tblGrid>
        <w:gridCol w:w="2947"/>
        <w:gridCol w:w="1984"/>
        <w:gridCol w:w="1985"/>
        <w:gridCol w:w="1416"/>
        <w:gridCol w:w="1192"/>
      </w:tblGrid>
      <w:tr>
        <w:trPr>
          <w:tblHeader w:val="true"/>
          <w:trHeight w:val="360" w:hRule="atLeast"/>
        </w:trPr>
        <w:tc>
          <w:tcPr>
            <w:tcW w:w="29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Females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Males</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29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 history</w:t>
            </w:r>
            <w:r>
              <w:rPr>
                <w:rFonts w:eastAsia="Arial" w:cs="Arial"/>
                <w:b w:val="false"/>
                <w:i w:val="false"/>
                <w:color w:val="000000"/>
                <w:sz w:val="18"/>
                <w:szCs w:val="18"/>
                <w:u w:val="none"/>
                <w:vertAlign w:val="superscript"/>
              </w:rPr>
              <w:t>b</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46% (n = 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.22</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Weight class</w:t>
            </w:r>
            <w:r>
              <w:rPr>
                <w:rFonts w:eastAsia="Arial" w:cs="Arial"/>
                <w:b w:val="false"/>
                <w:i w:val="false"/>
                <w:color w:val="000000"/>
                <w:sz w:val="18"/>
                <w:szCs w:val="18"/>
                <w:u w:val="none"/>
                <w:vertAlign w:val="superscript"/>
              </w:rPr>
              <w:t>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normal: 58% (n = 15)</w:t>
              <w:br/>
              <w:t>overweight: 31% (n = 8)</w:t>
              <w:br/>
              <w:t>obesity: 12% (n = 3)</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normal: 27% (n = 13)</w:t>
              <w:br/>
              <w:t>overweight: 50% (n = 24)</w:t>
              <w:br/>
              <w:t>obesity: 23% (n = 11)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Cardiovascular comorbidity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7)</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25)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.24</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r>
              <w:rPr>
                <w:rFonts w:eastAsia="Arial" w:cs="Arial"/>
                <w:b w:val="false"/>
                <w:i w:val="false"/>
                <w:color w:val="000000"/>
                <w:sz w:val="18"/>
                <w:szCs w:val="18"/>
                <w:u w:val="none"/>
                <w:vertAlign w:val="superscript"/>
              </w:rPr>
              <w:t>d</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2 - 3.8]</w:t>
              <w:br/>
              <w:t>range: 2 - 7</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3 - 5]</w:t>
              <w:br/>
              <w:t>range: 2 - 7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.37</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COVID-19 severity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 38% (n = 10)</w:t>
              <w:br/>
              <w:t>HM: 46% (n = 12)</w:t>
              <w:br/>
              <w:t>HS: 15% (n = 4)</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 10% (n = 5)</w:t>
              <w:br/>
              <w:t>HM: 58% (n = 28)</w:t>
              <w:br/>
              <w:t>HS: 31% (n = 15)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.34</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r>
              <w:rPr>
                <w:rFonts w:eastAsia="Arial" w:cs="Arial"/>
                <w:b w:val="false"/>
                <w:i w:val="false"/>
                <w:color w:val="000000"/>
                <w:sz w:val="18"/>
                <w:szCs w:val="18"/>
                <w:u w:val="none"/>
                <w:vertAlign w:val="superscript"/>
              </w:rPr>
              <w:t>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(n = 23)</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30)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.04</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.27</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r>
              <w:rPr>
                <w:rFonts w:eastAsia="Arial" w:cs="Arial"/>
                <w:b w:val="false"/>
                <w:i w:val="false"/>
                <w:color w:val="000000"/>
                <w:sz w:val="18"/>
                <w:szCs w:val="18"/>
                <w:u w:val="none"/>
                <w:vertAlign w:val="superscript"/>
              </w:rPr>
              <w:t>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1 - 4]</w:t>
              <w:br/>
              <w:t>range: 0 - 6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w:t>
              <w:br/>
              <w:t>range: 0 - 6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.27</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r>
              <w:rPr>
                <w:rFonts w:eastAsia="Arial" w:cs="Arial"/>
                <w:b w:val="false"/>
                <w:i w:val="false"/>
                <w:color w:val="000000"/>
                <w:sz w:val="18"/>
                <w:szCs w:val="18"/>
                <w:u w:val="none"/>
                <w:vertAlign w:val="superscript"/>
              </w:rPr>
              <w:t>f</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9)</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abnormality (CT score ≥ 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5)</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73% (n = 35)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.51</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r>
              <w:rPr>
                <w:rFonts w:eastAsia="Arial" w:cs="Arial"/>
                <w:b w:val="false"/>
                <w:i w:val="false"/>
                <w:color w:val="000000"/>
                <w:sz w:val="18"/>
                <w:szCs w:val="18"/>
                <w:u w:val="none"/>
                <w:vertAlign w:val="superscript"/>
              </w:rPr>
              <w:t>g</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.49</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r>
              <w:rPr>
                <w:rFonts w:eastAsia="Arial" w:cs="Arial"/>
                <w:b w:val="false"/>
                <w:i w:val="false"/>
                <w:color w:val="000000"/>
                <w:sz w:val="18"/>
                <w:szCs w:val="18"/>
                <w:u w:val="none"/>
                <w:vertAlign w:val="superscript"/>
              </w:rPr>
              <w:t>h</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130 - 150]</w:t>
              <w:br/>
              <w:t>range: 120 - 160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150 - 160]</w:t>
              <w:br/>
              <w:t>range: 110 - 180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.51</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r>
              <w:rPr>
                <w:rFonts w:eastAsia="Arial" w:cs="Arial"/>
                <w:b w:val="false"/>
                <w:i w:val="false"/>
                <w:color w:val="000000"/>
                <w:sz w:val="18"/>
                <w:szCs w:val="18"/>
                <w:u w:val="none"/>
                <w:vertAlign w:val="superscript"/>
              </w:rPr>
              <w:t>i</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59 - 180]</w:t>
              <w:br/>
              <w:t>range: 13 - 310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200 [IQR: 120 - 290]</w:t>
              <w:br/>
              <w:t>range: 13 - 1300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.26</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Total IP score (BIPQ sum)</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[IQR: 18 - 38]</w:t>
              <w:br/>
              <w:t>range: 2 - 59</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[IQR: 15 - 31]</w:t>
              <w:br/>
              <w:t>range: 0 - 50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Emotion/concern/consequences (BIPQ 1/2/5/6/8)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4 - 25]</w:t>
              <w:br/>
              <w:t>range: 0 - 43</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3.8 - 18]</w:t>
              <w:br/>
              <w:t>range: 0 - 47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&gt; .99)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.0013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control/coherence (BIPQ 3/4/7)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5.2 - 18]</w:t>
              <w:br/>
              <w:t>range: 0 - 30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4 - 15]</w:t>
              <w:br/>
              <w:t>range: 0 - 30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Consequences (BIPQ Q1)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0.25 - 4.5]</w:t>
              <w:br/>
              <w:t>range: 0 - 9</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0 - 3.2]</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.049</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Timeline (BIPQ Q2)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0.25 - 5]</w:t>
              <w:br/>
              <w:t>range: 0 - 8</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0 - 4]</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.085</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personal control (BIPQ Q3)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2 - 8.8]</w:t>
              <w:br/>
              <w:t>range: 0 - 10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[IQR: 1 - 5.5]</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treatment control (BIPQ Q4)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0 - 8.8]</w:t>
              <w:br/>
              <w:t>range: 0 - 10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1 - 5]</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.035</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Identity (BIPQ Q5)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1 - 5]</w:t>
              <w:br/>
              <w:t>range: 0 - 9</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.042</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Concern (BIPQ Q6)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0 - 9</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.053</w:t>
            </w:r>
          </w:p>
        </w:tc>
      </w:tr>
      <w:tr>
        <w:trPr>
          <w:trHeight w:val="360" w:hRule="atLeast"/>
        </w:trPr>
        <w:tc>
          <w:tcPr>
            <w:tcW w:w="29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coherence (BIPQ Q7)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0.25 - 5]</w:t>
              <w:br/>
              <w:t>range: 0 - 10</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.15</w:t>
            </w:r>
          </w:p>
        </w:tc>
      </w:tr>
      <w:tr>
        <w:trPr>
          <w:trHeight w:val="360" w:hRule="atLeast"/>
        </w:trPr>
        <w:tc>
          <w:tcPr>
            <w:tcW w:w="29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Emotional representation (BIPQ Q8)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0 - 4.5]</w:t>
              <w:br/>
              <w:t>range: 0 - 10</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0 - 4.2]</w:t>
              <w:br/>
              <w:t>range: 0 - 10</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.78)</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.034</w:t>
            </w:r>
          </w:p>
        </w:tc>
      </w:tr>
      <w:tr>
        <w:trPr>
          <w:trHeight w:val="360" w:hRule="atLeast"/>
        </w:trPr>
        <w:tc>
          <w:tcPr>
            <w:tcW w:w="952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Former or active smoker</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Overweight: body mass index 25 - 30 kg/m², obesity: &gt; 30 kg/m²</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WHO ordinal scale for clinical improvement</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PSS: persistent somatic symptoms</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f</w:t>
            </w:r>
            <w:r>
              <w:rPr>
                <w:rFonts w:eastAsia="Arial" w:cs="Arial"/>
                <w:b w:val="false"/>
                <w:i w:val="false"/>
                <w:color w:val="000000"/>
                <w:sz w:val="18"/>
                <w:szCs w:val="18"/>
                <w:u w:val="none"/>
              </w:rPr>
              <w:t>mMRC: Modified Medical Research Council dyspnea score</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g</w:t>
            </w:r>
            <w:r>
              <w:rPr>
                <w:rFonts w:eastAsia="Arial" w:cs="Arial"/>
                <w:b w:val="false"/>
                <w:i w:val="false"/>
                <w:color w:val="000000"/>
                <w:sz w:val="18"/>
                <w:szCs w:val="18"/>
                <w:u w:val="none"/>
              </w:rPr>
              <w:t>Chest computer tomography severity score</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h</w:t>
            </w:r>
            <w:r>
              <w:rPr>
                <w:rFonts w:eastAsia="Arial" w:cs="Arial"/>
                <w:b w:val="false"/>
                <w:i w:val="false"/>
                <w:color w:val="000000"/>
                <w:sz w:val="18"/>
                <w:szCs w:val="18"/>
                <w:u w:val="none"/>
              </w:rPr>
              <w:t>Blood hemoglobin</w:t>
            </w:r>
          </w:p>
        </w:tc>
      </w:tr>
      <w:tr>
        <w:trPr>
          <w:trHeight w:val="360" w:hRule="atLeast"/>
        </w:trPr>
        <w:tc>
          <w:tcPr>
            <w:tcW w:w="952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i</w:t>
            </w:r>
            <w:r>
              <w:rPr>
                <w:rFonts w:eastAsia="Arial" w:cs="Arial"/>
                <w:b w:val="false"/>
                <w:i w:val="false"/>
                <w:color w:val="000000"/>
                <w:sz w:val="18"/>
                <w:szCs w:val="18"/>
                <w:u w:val="none"/>
              </w:rPr>
              <w:t>Serum ferritin</w:t>
            </w:r>
          </w:p>
        </w:tc>
      </w:tr>
    </w:tbl>
    <w:p>
      <w:pPr>
        <w:pStyle w:val="Normal"/>
        <w:rPr/>
      </w:pPr>
      <w:r>
        <w:rPr/>
      </w:r>
      <w:r>
        <w:br w:type="page"/>
      </w:r>
    </w:p>
    <w:p>
      <w:pPr>
        <w:pStyle w:val="TableCaption"/>
        <w:rPr/>
      </w:pPr>
      <w:r>
        <w:rPr/>
        <w:t xml:space="preserve">Supplementary </w:t>
      </w:r>
      <w:r>
        <w:rPr/>
        <w:t xml:space="preserve">Table </w:t>
      </w:r>
      <w:r>
        <w:rPr/>
        <w:t>S</w:t>
      </w:r>
      <w:r>
        <w:rPr/>
        <w:t>7: Significant and near-significant (p &lt; .1) factors differentiating between participants with and without respiratory comorbidity. Numeric variables are presented as medians with interquartile ranges (IQR). Categorical variables are shown as percentages and counts within the strata.</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870"/>
        <w:gridCol w:w="1872"/>
        <w:gridCol w:w="1416"/>
        <w:gridCol w:w="1192"/>
      </w:tblGrid>
      <w:tr>
        <w:trPr>
          <w:tblHeader w:val="true"/>
          <w:trHeight w:val="360" w:hRule="atLeast"/>
        </w:trPr>
        <w:tc>
          <w:tcPr>
            <w:tcW w:w="272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8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No respiratory comorbidity</w:t>
            </w:r>
          </w:p>
        </w:tc>
        <w:tc>
          <w:tcPr>
            <w:tcW w:w="18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Respiratory comorbidity</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272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8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w:t>
            </w:r>
          </w:p>
        </w:tc>
        <w:tc>
          <w:tcPr>
            <w:tcW w:w="18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Comorbidity present</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66% (n = 37)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(n = 18)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.33</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comorbidities</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0 - 3.2]</w:t>
              <w:br/>
              <w:t>range: 0 - 7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3 - 4.8]</w:t>
              <w:br/>
              <w:t>range: 1 - 9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.37</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comorbidity</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39%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.42</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r>
              <w:rPr>
                <w:rFonts w:eastAsia="Arial" w:cs="Arial"/>
                <w:b w:val="false"/>
                <w:i w:val="false"/>
                <w:color w:val="000000"/>
                <w:sz w:val="18"/>
                <w:szCs w:val="18"/>
                <w:u w:val="none"/>
                <w:vertAlign w:val="superscript"/>
              </w:rPr>
              <w:t>b</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1 - 32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[IQR: 13 - 22]</w:t>
              <w:br/>
              <w:t>range: 4 - 25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.27</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r>
              <w:rPr>
                <w:rFonts w:eastAsia="Arial" w:cs="Arial"/>
                <w:b w:val="false"/>
                <w:i w:val="false"/>
                <w:color w:val="000000"/>
                <w:sz w:val="18"/>
                <w:szCs w:val="18"/>
                <w:u w:val="none"/>
                <w:vertAlign w:val="superscript"/>
              </w:rPr>
              <w:t>b</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61% (n = 11)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.08)</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.24</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c</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.28</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Total IP score (BIPQ sum)</w:t>
            </w:r>
            <w:r>
              <w:rPr>
                <w:rFonts w:eastAsia="Arial" w:cs="Arial"/>
                <w:b w:val="false"/>
                <w:i w:val="false"/>
                <w:color w:val="000000"/>
                <w:sz w:val="18"/>
                <w:szCs w:val="18"/>
                <w:u w:val="none"/>
                <w:vertAlign w:val="superscript"/>
              </w:rPr>
              <w:t>d</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[IQR: 12 - 30]</w:t>
              <w:br/>
              <w:t>range: 0 - 59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[IQR: 22 - 46]</w:t>
              <w:br/>
              <w:t>range: 4 - 53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.33</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Emotion/concern/consequences (BIPQ 1/2/5/6/8)</w:t>
            </w:r>
            <w:r>
              <w:rPr>
                <w:rFonts w:eastAsia="Arial" w:cs="Arial"/>
                <w:b w:val="false"/>
                <w:i w:val="false"/>
                <w:color w:val="000000"/>
                <w:sz w:val="18"/>
                <w:szCs w:val="18"/>
                <w:u w:val="none"/>
                <w:vertAlign w:val="superscript"/>
              </w:rPr>
              <w:t>d</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2.8 - 15]</w:t>
              <w:br/>
              <w:t>range: 0 - 43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10 - 34]</w:t>
              <w:br/>
              <w:t>range: 0 - 47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.26</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Consequences (BIPQ Q1)</w:t>
            </w:r>
            <w:r>
              <w:rPr>
                <w:rFonts w:eastAsia="Arial" w:cs="Arial"/>
                <w:b w:val="false"/>
                <w:i w:val="false"/>
                <w:color w:val="000000"/>
                <w:sz w:val="18"/>
                <w:szCs w:val="18"/>
                <w:u w:val="none"/>
                <w:vertAlign w:val="superscript"/>
              </w:rPr>
              <w:t>d</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w:t>
              <w:br/>
              <w:t>range: 0 - 9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1 - 6.5]</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.25</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Timeline (BIPQ Q2)</w:t>
            </w:r>
            <w:r>
              <w:rPr>
                <w:rFonts w:eastAsia="Arial" w:cs="Arial"/>
                <w:b w:val="false"/>
                <w:i w:val="false"/>
                <w:color w:val="000000"/>
                <w:sz w:val="18"/>
                <w:szCs w:val="18"/>
                <w:u w:val="none"/>
                <w:vertAlign w:val="superscript"/>
              </w:rPr>
              <w:t>d</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0 - 3.2]</w:t>
              <w:br/>
              <w:t>range: 0 - 10</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1.2 - 8]</w:t>
              <w:br/>
              <w:t>range: 0 - 10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.32</w:t>
            </w:r>
          </w:p>
        </w:tc>
      </w:tr>
      <w:tr>
        <w:trPr>
          <w:trHeight w:val="360" w:hRule="atLeast"/>
        </w:trPr>
        <w:tc>
          <w:tcPr>
            <w:tcW w:w="272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Emotional representation (BIPQ Q8)</w:t>
            </w:r>
            <w:r>
              <w:rPr>
                <w:rFonts w:eastAsia="Arial" w:cs="Arial"/>
                <w:b w:val="false"/>
                <w:i w:val="false"/>
                <w:color w:val="000000"/>
                <w:sz w:val="18"/>
                <w:szCs w:val="18"/>
                <w:u w:val="none"/>
                <w:vertAlign w:val="superscript"/>
              </w:rPr>
              <w:t>d</w:t>
            </w:r>
          </w:p>
        </w:tc>
        <w:tc>
          <w:tcPr>
            <w:tcW w:w="18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w:t>
              <w:br/>
              <w:t>range: 0 - 10</w:t>
            </w:r>
          </w:p>
        </w:tc>
        <w:tc>
          <w:tcPr>
            <w:tcW w:w="18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2 - 7]</w:t>
              <w:br/>
              <w:t>range: 0 - 10</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.23</w:t>
            </w:r>
          </w:p>
        </w:tc>
      </w:tr>
      <w:tr>
        <w:trPr>
          <w:trHeight w:val="360" w:hRule="atLeast"/>
        </w:trPr>
        <w:tc>
          <w:tcPr>
            <w:tcW w:w="9071"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r>
        <w:trPr>
          <w:trHeight w:val="360" w:hRule="atLeast"/>
        </w:trPr>
        <w:tc>
          <w:tcPr>
            <w:tcW w:w="907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CFS: Chalder's fatigue score</w:t>
            </w:r>
          </w:p>
        </w:tc>
      </w:tr>
      <w:tr>
        <w:trPr>
          <w:trHeight w:val="360" w:hRule="atLeast"/>
        </w:trPr>
        <w:tc>
          <w:tcPr>
            <w:tcW w:w="907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trPr>
        <w:tc>
          <w:tcPr>
            <w:tcW w:w="907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BIPQ: brief illness perception questionnaire</w:t>
            </w:r>
          </w:p>
        </w:tc>
      </w:tr>
    </w:tbl>
    <w:p>
      <w:pPr>
        <w:pStyle w:val="Normal"/>
        <w:rPr/>
      </w:pPr>
      <w:r>
        <w:rPr/>
      </w:r>
      <w:r>
        <w:br w:type="page"/>
      </w:r>
    </w:p>
    <w:p>
      <w:pPr>
        <w:pStyle w:val="TableCaption"/>
        <w:rPr/>
      </w:pPr>
      <w:r>
        <w:rPr/>
        <w:t xml:space="preserve">Supplementary </w:t>
      </w:r>
      <w:r>
        <w:rPr/>
        <w:t xml:space="preserve">Table </w:t>
      </w:r>
      <w:r>
        <w:rPr/>
        <w:t>S</w:t>
      </w:r>
      <w:r>
        <w:rPr/>
        <w:t>8: Significant and near-significant (p &lt; .1)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trPr>
        <w:tc>
          <w:tcPr>
            <w:tcW w:w="306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#1</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#2</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#3</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306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 history</w:t>
            </w:r>
            <w:r>
              <w:rPr>
                <w:rFonts w:eastAsia="Arial" w:cs="Arial"/>
                <w:b w:val="false"/>
                <w:i w:val="false"/>
                <w:color w:val="000000"/>
                <w:sz w:val="18"/>
                <w:szCs w:val="18"/>
                <w:u w:val="none"/>
                <w:vertAlign w:val="superscript"/>
              </w:rPr>
              <w:t>b</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11)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Metabolic comorbidity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Respiratory comorbidity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.25</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r>
              <w:rPr>
                <w:rFonts w:eastAsia="Arial" w:cs="Arial"/>
                <w:b w:val="false"/>
                <w:i w:val="false"/>
                <w:color w:val="000000"/>
                <w:sz w:val="18"/>
                <w:szCs w:val="18"/>
                <w:u w:val="none"/>
                <w:vertAlign w:val="superscript"/>
              </w:rPr>
              <w:t>c</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3 - 5]</w:t>
              <w:br/>
              <w:t>range: 2 - 7</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2.8 - 4]</w:t>
              <w:br/>
              <w:t>range: 2 - 6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3 - 6]</w:t>
              <w:br/>
              <w:t>range: 2 - 7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.048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.058</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r>
              <w:rPr>
                <w:rFonts w:eastAsia="Arial" w:cs="Arial"/>
                <w:b w:val="false"/>
                <w:i w:val="false"/>
                <w:color w:val="000000"/>
                <w:sz w:val="18"/>
                <w:szCs w:val="18"/>
                <w:u w:val="none"/>
                <w:vertAlign w:val="superscript"/>
              </w:rPr>
              <w:t>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63% (n = 24)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(n = 16)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.33</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r>
              <w:rPr>
                <w:rFonts w:eastAsia="Arial" w:cs="Arial"/>
                <w:b w:val="false"/>
                <w:i w:val="false"/>
                <w:color w:val="000000"/>
                <w:sz w:val="18"/>
                <w:szCs w:val="18"/>
                <w:u w:val="none"/>
                <w:vertAlign w:val="superscript"/>
              </w:rPr>
              <w:t>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w:t>
              <w:br/>
              <w:t>range: 0 - 5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0 - 2.2]</w:t>
              <w:br/>
              <w:t>range: 0 - 6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2.8 - 5]</w:t>
              <w:br/>
              <w:t>range: 2 - 6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.31</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Reduced performance (ECOG ≥ 1)</w:t>
            </w:r>
            <w:r>
              <w:rPr>
                <w:rFonts w:eastAsia="Arial" w:cs="Arial"/>
                <w:b w:val="false"/>
                <w:i w:val="false"/>
                <w:color w:val="000000"/>
                <w:sz w:val="18"/>
                <w:szCs w:val="18"/>
                <w:u w:val="none"/>
                <w:vertAlign w:val="superscript"/>
              </w:rPr>
              <w:t>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.51</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r>
              <w:rPr>
                <w:rFonts w:eastAsia="Arial" w:cs="Arial"/>
                <w:b w:val="false"/>
                <w:i w:val="false"/>
                <w:color w:val="000000"/>
                <w:sz w:val="18"/>
                <w:szCs w:val="18"/>
                <w:u w:val="none"/>
                <w:vertAlign w:val="superscript"/>
              </w:rPr>
              <w:t>f</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Sleep problems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11)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.32</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Hair loss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r>
              <w:rPr>
                <w:rFonts w:eastAsia="Arial" w:cs="Arial"/>
                <w:b w:val="false"/>
                <w:i w:val="false"/>
                <w:color w:val="000000"/>
                <w:sz w:val="18"/>
                <w:szCs w:val="18"/>
                <w:u w:val="none"/>
                <w:vertAlign w:val="superscript"/>
              </w:rPr>
              <w:t>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[IQR: 11 - 13]</w:t>
              <w:br/>
              <w:t>range: 1 - 29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4 - 24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[IQR: 16 - 25]</w:t>
              <w:br/>
              <w:t>range: 12 - 32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.34</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r>
              <w:rPr>
                <w:rFonts w:eastAsia="Arial" w:cs="Arial"/>
                <w:b w:val="false"/>
                <w:i w:val="false"/>
                <w:color w:val="000000"/>
                <w:sz w:val="18"/>
                <w:szCs w:val="18"/>
                <w:u w:val="none"/>
                <w:vertAlign w:val="superscript"/>
              </w:rPr>
              <w:t>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(n = 15)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h</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.25</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0 - 1.2]</w:t>
              <w:br/>
              <w:t>range: 0 - 5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0 - 10]</w:t>
              <w:br/>
              <w:t>range: 0 - 13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.09</w:t>
            </w:r>
          </w:p>
        </w:tc>
      </w:tr>
      <w:tr>
        <w:trPr>
          <w:trHeight w:val="360" w:hRule="atLeast"/>
        </w:trPr>
        <w:tc>
          <w:tcPr>
            <w:tcW w:w="306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Rehabilitation</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12)</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2)</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9)</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.35</w:t>
            </w:r>
          </w:p>
        </w:tc>
      </w:tr>
      <w:tr>
        <w:trPr>
          <w:trHeight w:val="360" w:hRule="atLeast"/>
        </w:trPr>
        <w:tc>
          <w:tcPr>
            <w:tcW w:w="1077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Former or active smoker</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WHO ordinal scale for clinical improvement</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PSS: persistent somatic symptoms</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ECOG: Eastern Cooperative Oncology Group performance score</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f</w:t>
            </w:r>
            <w:r>
              <w:rPr>
                <w:rFonts w:eastAsia="Arial" w:cs="Arial"/>
                <w:b w:val="false"/>
                <w:i w:val="false"/>
                <w:color w:val="000000"/>
                <w:sz w:val="18"/>
                <w:szCs w:val="18"/>
                <w:u w:val="none"/>
              </w:rPr>
              <w:t>mMRC: Modified Medical Research Council dyspnea score</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g</w:t>
            </w:r>
            <w:r>
              <w:rPr>
                <w:rFonts w:eastAsia="Arial" w:cs="Arial"/>
                <w:b w:val="false"/>
                <w:i w:val="false"/>
                <w:color w:val="000000"/>
                <w:sz w:val="18"/>
                <w:szCs w:val="18"/>
                <w:u w:val="none"/>
              </w:rPr>
              <w:t>Chalder's Fatigure Score</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h</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26"/>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2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28"/>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2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3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32"/>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33"/>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3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36"/>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3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39"/>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4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r>
        <w:br w:type="page"/>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41"/>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42"/>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43">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44">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45">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46">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47">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48">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49">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50">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51">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52">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53">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54">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55">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56">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57">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58">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59">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60">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61">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62">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63">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64">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65">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66">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67">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68">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69">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70">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71">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72">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73">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74">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75">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76">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77">
        <w:r>
          <w:rPr>
            <w:rStyle w:val="InternetLink"/>
          </w:rPr>
          <w:t>10.3923/jse.2014.14.22</w:t>
        </w:r>
      </w:hyperlink>
      <w:r>
        <w:rPr/>
        <w:t>.</w:t>
      </w:r>
    </w:p>
    <w:sectPr>
      <w:footerReference w:type="default" r:id="rId7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backward elimination and two-way ANOVA"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drdanholmes/Affiliations" TargetMode="External"/><Relationship Id="rId9" Type="http://schemas.openxmlformats.org/officeDocument/2006/relationships/hyperlink" Target="https://github.com/PiotrTymoszuk/figur"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ovILD-IPQ"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016/j.jpsychores.2005.10.020" TargetMode="External"/><Relationship Id="rId44" Type="http://schemas.openxmlformats.org/officeDocument/2006/relationships/hyperlink" Target="https://doi.org/10.1183/13993003.03481-2020" TargetMode="External"/><Relationship Id="rId45" Type="http://schemas.openxmlformats.org/officeDocument/2006/relationships/hyperlink" Target="https://doi.org/10.7554/ELIFE.72500" TargetMode="External"/><Relationship Id="rId46" Type="http://schemas.openxmlformats.org/officeDocument/2006/relationships/hyperlink" Target="https://doi.org/10.1148/radiol.211670" TargetMode="External"/><Relationship Id="rId47" Type="http://schemas.openxmlformats.org/officeDocument/2006/relationships/hyperlink" Target="https://doi.org/10.1148/radiol.2462070712" TargetMode="External"/><Relationship Id="rId48" Type="http://schemas.openxmlformats.org/officeDocument/2006/relationships/hyperlink" Target="https://doi.org/10.1016/0022-3999(93)90081-P" TargetMode="External"/><Relationship Id="rId49" Type="http://schemas.openxmlformats.org/officeDocument/2006/relationships/hyperlink" Target="https://doi.org/10.1016/S0022-3999(98)00022-1" TargetMode="External"/><Relationship Id="rId50" Type="http://schemas.openxmlformats.org/officeDocument/2006/relationships/hyperlink" Target="https://doi.org/10.1164/ajrccm.166.1.at1102" TargetMode="External"/><Relationship Id="rId51" Type="http://schemas.openxmlformats.org/officeDocument/2006/relationships/hyperlink" Target="https://doi.org/10.1111/j.2044-8295.1937.tb00863.x" TargetMode="External"/><Relationship Id="rId52" Type="http://schemas.openxmlformats.org/officeDocument/2006/relationships/hyperlink" Target="https://doi.org/10.4324/9781410601087" TargetMode="External"/><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rstatix"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doi.org/10.18637/jss.v033.i01" TargetMode="External"/><Relationship Id="rId59" Type="http://schemas.openxmlformats.org/officeDocument/2006/relationships/hyperlink" Target="https://cran.r-project.org/web/packages/monomvn/index.html" TargetMode="External"/><Relationship Id="rId60" Type="http://schemas.openxmlformats.org/officeDocument/2006/relationships/hyperlink" Target="https://doi.org/10.18637/jss.v028.i0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ggplot2.tidyverse.org/" TargetMode="External"/><Relationship Id="rId65" Type="http://schemas.openxmlformats.org/officeDocument/2006/relationships/hyperlink" Target="https://doi.org/10.1093/bioinformatics/bty109" TargetMode="External"/><Relationship Id="rId66" Type="http://schemas.openxmlformats.org/officeDocument/2006/relationships/hyperlink" Target="https://cran.r-project.org/web/packages/flextable/index.html" TargetMode="External"/><Relationship Id="rId67" Type="http://schemas.openxmlformats.org/officeDocument/2006/relationships/hyperlink" Target="https://cran.r-project.org/web/packages/rmarkdown/index.html" TargetMode="External"/><Relationship Id="rId68" Type="http://schemas.openxmlformats.org/officeDocument/2006/relationships/hyperlink" Target="https://cran.r-project.org/web/packages/knitr/index.html" TargetMode="External"/><Relationship Id="rId69" Type="http://schemas.openxmlformats.org/officeDocument/2006/relationships/hyperlink" Target="https://doi.org/10.1201/9781315204963" TargetMode="External"/><Relationship Id="rId70" Type="http://schemas.openxmlformats.org/officeDocument/2006/relationships/hyperlink" Target="https://doi.org/10.1111/j.1467-9868.2005.00503.x" TargetMode="External"/><Relationship Id="rId71" Type="http://schemas.openxmlformats.org/officeDocument/2006/relationships/hyperlink" Target="https://doi.org/10.1111/j.2517-6161.1996.tb02080.x" TargetMode="External"/><Relationship Id="rId72" Type="http://schemas.openxmlformats.org/officeDocument/2006/relationships/hyperlink" Target="https://doi.org/10.1198/016214508000000337" TargetMode="External"/><Relationship Id="rId73" Type="http://schemas.openxmlformats.org/officeDocument/2006/relationships/hyperlink" Target="https://doi.org/10.1371/journal.pone.0197910" TargetMode="External"/><Relationship Id="rId74" Type="http://schemas.openxmlformats.org/officeDocument/2006/relationships/hyperlink" Target="https://cran.r-project.org/package=MASS" TargetMode="External"/><Relationship Id="rId75" Type="http://schemas.openxmlformats.org/officeDocument/2006/relationships/hyperlink" Target="https://doi.org/10.1186/s12874-015-0066-2" TargetMode="External"/><Relationship Id="rId76" Type="http://schemas.openxmlformats.org/officeDocument/2006/relationships/hyperlink" Target="https://doi.org/10.1162/089976604773717621" TargetMode="External"/><Relationship Id="rId77" Type="http://schemas.openxmlformats.org/officeDocument/2006/relationships/hyperlink" Target="https://doi.org/10.3923/jse.2014.14.22"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Application>LibreOffice/7.0.5.2$Windows_X86_64 LibreOffice_project/64390860c6cd0aca4beafafcfd84613dd9dfb63a</Application>
  <AppVersion>15.0000</AppVersion>
  <Pages>51</Pages>
  <Words>9818</Words>
  <Characters>52556</Characters>
  <CharactersWithSpaces>61611</CharactersWithSpaces>
  <Paragraphs>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2023-03-17T17:56:13Z</dcterms:created>
  <dc:creator>CovILD study team</dc:creator>
  <dc:description/>
  <dc:language>en-US</dc:language>
  <cp:lastModifiedBy/>
  <dcterms:modified xsi:type="dcterms:W3CDTF">2023-03-17T21:04:28Z</dcterms:modified>
  <cp:revision>1</cp:revision>
  <dc:subject/>
  <dc:title>Persistent somatic symptoms are key to individual illness perception at one year after COVID-19 in a cross-sectional analysis of a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2023-03-17</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